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850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Утверждены признаки неиспользования земельных участков из состава земель населенных пунктов, садовых земельных участков и огородных земельных участков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сентября 2</w:t>
      </w:r>
      <w:r>
        <w:rPr>
          <w:rFonts w:ascii="Times New Roman" w:hAnsi="Times New Roman"/>
          <w:sz w:val="28"/>
        </w:rPr>
        <w:t xml:space="preserve">025 года вступит в законную силу Признаки неиспользования земельных участков из состава земель населенных пунктов, садовых земельных участков и огородных земельных участков, утвержденных постановление Правительства Российской Федерации от 31.05.2025 № 826.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признаками неиспользования земельных участков из состава земель населенных пунктов, за исклю</w:t>
      </w:r>
      <w:r>
        <w:rPr>
          <w:rFonts w:ascii="Times New Roman" w:hAnsi="Times New Roman"/>
          <w:sz w:val="28"/>
        </w:rPr>
        <w:t xml:space="preserve">чением земельных участков, правовой режим которых не предусматривает строительство и эксплуатацию зданий, сооружений, приусадебных, садовых и огородных земельных участков, помимо прочего, являются (необходимо наличие хотя бы одного из указанных признаков):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захламление более чем 50 процентов пл</w:t>
      </w:r>
      <w:r>
        <w:rPr>
          <w:rFonts w:ascii="Times New Roman" w:hAnsi="Times New Roman"/>
          <w:sz w:val="28"/>
        </w:rPr>
        <w:t xml:space="preserve">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</w:t>
      </w:r>
      <w:r>
        <w:rPr>
          <w:rFonts w:ascii="Times New Roman" w:hAnsi="Times New Roman"/>
          <w:sz w:val="28"/>
        </w:rPr>
        <w:t xml:space="preserve">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отсутствие на земельном участке, правовой режим которого предусматривает строительство и размещение зданий, со</w:t>
      </w:r>
      <w:r>
        <w:rPr>
          <w:rFonts w:ascii="Times New Roman" w:hAnsi="Times New Roman"/>
          <w:sz w:val="28"/>
        </w:rPr>
        <w:t xml:space="preserve">оружений (за исключением земельного участка, предназначенного для индивидуального жилищного строительства), в течение 5 и более лет здания, сооружения, для строительства которых предназначен земельный участок, права на которые (либо на любое помещение или </w:t>
      </w:r>
      <w:r>
        <w:rPr>
          <w:rFonts w:ascii="Times New Roman" w:hAnsi="Times New Roman"/>
          <w:sz w:val="28"/>
        </w:rPr>
        <w:t xml:space="preserve">машино</w:t>
      </w:r>
      <w:r>
        <w:rPr>
          <w:rFonts w:ascii="Times New Roman" w:hAnsi="Times New Roman"/>
          <w:sz w:val="28"/>
        </w:rPr>
        <w:t xml:space="preserve">-место в них) зарегистрированы в соответствии с законом, за исключением случаев, ког</w:t>
      </w:r>
      <w:r>
        <w:rPr>
          <w:rFonts w:ascii="Times New Roman" w:hAnsi="Times New Roman"/>
          <w:sz w:val="28"/>
        </w:rPr>
        <w:t xml:space="preserve">да соответствующие права не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законом, если  не установлен иной срок;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законом, за исключением случаев, если судом</w:t>
      </w:r>
      <w:r>
        <w:rPr>
          <w:rFonts w:ascii="Times New Roman" w:hAnsi="Times New Roman"/>
          <w:sz w:val="28"/>
        </w:rPr>
        <w:t xml:space="preserve"> установлено, что правообладатель земельного участка не смог завершить строительство индивидуального жилого дома в связи с действиями (бездействием) органов государственной власти, органов местного самоуправления или лиц, осуществляющих эксплуатацию сетей </w:t>
      </w:r>
      <w:r>
        <w:rPr>
          <w:rFonts w:ascii="Times New Roman" w:hAnsi="Times New Roman"/>
          <w:sz w:val="28"/>
        </w:rPr>
        <w:t xml:space="preserve">инженернотехнического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обеспечения, к которым должен быть подключен (технологически присоединен) индивидуальный жилой дом;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наличие на земельном участке не являющихся самовольными постройками зданий, сооружений, у которых в совокупности разрушены крыша, стены, отсутствуют окна или стекла на окнах, при условии, что правообладатель земельного уча</w:t>
      </w:r>
      <w:r>
        <w:rPr>
          <w:rFonts w:ascii="Times New Roman" w:hAnsi="Times New Roman"/>
          <w:sz w:val="28"/>
        </w:rPr>
        <w:t xml:space="preserve">стка не приступил к выполнению работ по устранению указанных обстоятельств в течение одного года и более со дня их выявления, за исключением случаев, когда такие объекты капитального строительства признаны аварийными  и подлежащими сносу или реконструкции.</w:t>
      </w:r>
      <w:r>
        <w:rPr>
          <w:rFonts w:ascii="Times New Roman" w:hAnsi="Times New Roman"/>
          <w:sz w:val="28"/>
        </w:rPr>
      </w:r>
    </w:p>
    <w:p>
      <w:pPr>
        <w:ind w:firstLine="85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действия вышеуказанного постановления ограничено до 1 сентября 2031 года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6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2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2"/>
    <w:link w:val="656"/>
    <w:uiPriority w:val="10"/>
    <w:rPr>
      <w:sz w:val="48"/>
      <w:szCs w:val="48"/>
    </w:rPr>
  </w:style>
  <w:style w:type="character" w:styleId="37">
    <w:name w:val="Subtitle Char"/>
    <w:basedOn w:val="632"/>
    <w:link w:val="654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Default Paragraph Font"/>
    <w:link w:val="632"/>
  </w:style>
  <w:style w:type="character" w:styleId="632">
    <w:name w:val="Default Paragraph Font"/>
    <w:link w:val="631"/>
  </w:style>
  <w:style w:type="paragraph" w:styleId="633">
    <w:name w:val="toc 3"/>
    <w:next w:val="617"/>
    <w:link w:val="63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4">
    <w:name w:val="toc 3"/>
    <w:link w:val="633"/>
    <w:rPr>
      <w:rFonts w:ascii="XO Thames" w:hAnsi="XO Thames"/>
      <w:sz w:val="28"/>
    </w:rPr>
  </w:style>
  <w:style w:type="paragraph" w:styleId="635">
    <w:name w:val="Heading 5"/>
    <w:next w:val="617"/>
    <w:link w:val="63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6">
    <w:name w:val="Heading 5"/>
    <w:link w:val="635"/>
    <w:rPr>
      <w:rFonts w:ascii="XO Thames" w:hAnsi="XO Thames"/>
      <w:b/>
      <w:sz w:val="22"/>
    </w:rPr>
  </w:style>
  <w:style w:type="paragraph" w:styleId="637">
    <w:name w:val="Heading 1"/>
    <w:next w:val="617"/>
    <w:link w:val="63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8">
    <w:name w:val="Heading 1"/>
    <w:link w:val="637"/>
    <w:rPr>
      <w:rFonts w:ascii="XO Thames" w:hAnsi="XO Thames"/>
      <w:b/>
      <w:sz w:val="32"/>
    </w:rPr>
  </w:style>
  <w:style w:type="paragraph" w:styleId="639">
    <w:name w:val="Hyperlink"/>
    <w:link w:val="640"/>
    <w:rPr>
      <w:color w:val="0000ff"/>
      <w:u w:val="single"/>
    </w:rPr>
  </w:style>
  <w:style w:type="character" w:styleId="640">
    <w:name w:val="Hyperlink"/>
    <w:link w:val="639"/>
    <w:rPr>
      <w:color w:val="0000ff"/>
      <w:u w:val="single"/>
    </w:rPr>
  </w:style>
  <w:style w:type="paragraph" w:styleId="641">
    <w:name w:val="Footnote"/>
    <w:link w:val="642"/>
    <w:pPr>
      <w:ind w:left="0" w:firstLine="851"/>
      <w:jc w:val="both"/>
    </w:pPr>
    <w:rPr>
      <w:rFonts w:ascii="XO Thames" w:hAnsi="XO Thames"/>
      <w:sz w:val="22"/>
    </w:rPr>
  </w:style>
  <w:style w:type="character" w:styleId="642">
    <w:name w:val="Footnote"/>
    <w:link w:val="641"/>
    <w:rPr>
      <w:rFonts w:ascii="XO Thames" w:hAnsi="XO Thames"/>
      <w:sz w:val="22"/>
    </w:rPr>
  </w:style>
  <w:style w:type="paragraph" w:styleId="643">
    <w:name w:val="toc 1"/>
    <w:next w:val="617"/>
    <w:link w:val="6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4">
    <w:name w:val="toc 1"/>
    <w:link w:val="643"/>
    <w:rPr>
      <w:rFonts w:ascii="XO Thames" w:hAnsi="XO Thames"/>
      <w:b/>
      <w:sz w:val="28"/>
    </w:rPr>
  </w:style>
  <w:style w:type="paragraph" w:styleId="645">
    <w:name w:val="Header and Footer"/>
    <w:link w:val="646"/>
    <w:pPr>
      <w:jc w:val="both"/>
      <w:spacing w:line="240" w:lineRule="auto"/>
    </w:pPr>
    <w:rPr>
      <w:rFonts w:ascii="XO Thames" w:hAnsi="XO Thames"/>
      <w:sz w:val="28"/>
    </w:rPr>
  </w:style>
  <w:style w:type="character" w:styleId="646">
    <w:name w:val="Header and Footer"/>
    <w:link w:val="645"/>
    <w:rPr>
      <w:rFonts w:ascii="XO Thames" w:hAnsi="XO Thames"/>
      <w:sz w:val="28"/>
    </w:rPr>
  </w:style>
  <w:style w:type="paragraph" w:styleId="647">
    <w:name w:val="toc 9"/>
    <w:next w:val="617"/>
    <w:link w:val="6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48">
    <w:name w:val="toc 9"/>
    <w:link w:val="647"/>
    <w:rPr>
      <w:rFonts w:ascii="XO Thames" w:hAnsi="XO Thames"/>
      <w:sz w:val="28"/>
    </w:rPr>
  </w:style>
  <w:style w:type="paragraph" w:styleId="649">
    <w:name w:val="toc 8"/>
    <w:next w:val="617"/>
    <w:link w:val="6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0">
    <w:name w:val="toc 8"/>
    <w:link w:val="649"/>
    <w:rPr>
      <w:rFonts w:ascii="XO Thames" w:hAnsi="XO Thames"/>
      <w:sz w:val="28"/>
    </w:rPr>
  </w:style>
  <w:style w:type="paragraph" w:styleId="651">
    <w:name w:val="toc 5"/>
    <w:next w:val="617"/>
    <w:link w:val="6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2">
    <w:name w:val="toc 5"/>
    <w:link w:val="651"/>
    <w:rPr>
      <w:rFonts w:ascii="XO Thames" w:hAnsi="XO Thames"/>
      <w:sz w:val="28"/>
    </w:rPr>
  </w:style>
  <w:style w:type="paragraph" w:styleId="653">
    <w:name w:val="Subtitle"/>
    <w:next w:val="617"/>
    <w:link w:val="65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4">
    <w:name w:val="Subtitle"/>
    <w:link w:val="653"/>
    <w:rPr>
      <w:rFonts w:ascii="XO Thames" w:hAnsi="XO Thames"/>
      <w:i/>
      <w:sz w:val="24"/>
    </w:rPr>
  </w:style>
  <w:style w:type="paragraph" w:styleId="655">
    <w:name w:val="Title"/>
    <w:next w:val="617"/>
    <w:link w:val="6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6">
    <w:name w:val="Title"/>
    <w:link w:val="655"/>
    <w:rPr>
      <w:rFonts w:ascii="XO Thames" w:hAnsi="XO Thames"/>
      <w:b/>
      <w:caps/>
      <w:sz w:val="40"/>
    </w:rPr>
  </w:style>
  <w:style w:type="paragraph" w:styleId="657">
    <w:name w:val="Heading 4"/>
    <w:next w:val="617"/>
    <w:link w:val="65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58">
    <w:name w:val="Heading 4"/>
    <w:link w:val="657"/>
    <w:rPr>
      <w:rFonts w:ascii="XO Thames" w:hAnsi="XO Thames"/>
      <w:b/>
      <w:sz w:val="24"/>
    </w:rPr>
  </w:style>
  <w:style w:type="paragraph" w:styleId="659">
    <w:name w:val="Heading 2"/>
    <w:next w:val="617"/>
    <w:link w:val="6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0">
    <w:name w:val="Heading 2"/>
    <w:link w:val="659"/>
    <w:rPr>
      <w:rFonts w:ascii="XO Thames" w:hAnsi="XO Thames"/>
      <w:b/>
      <w:sz w:val="28"/>
    </w:rPr>
  </w:style>
  <w:style w:type="table" w:styleId="6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Карачарова Ю. В. Отдел общего и дополнительного образования Адм Автозаводского р-на Консультант</cp:lastModifiedBy>
  <cp:revision>1</cp:revision>
  <dcterms:modified xsi:type="dcterms:W3CDTF">2025-06-30T13:19:47Z</dcterms:modified>
</cp:coreProperties>
</file>