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firstLine="850"/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Установлена продолжительность рабочего времени педагогов в школах и колледжах</w:t>
      </w:r>
      <w:r>
        <w:rPr>
          <w:rFonts w:ascii="Times New Roman" w:hAnsi="Times New Roman"/>
          <w:sz w:val="28"/>
        </w:rPr>
      </w:r>
    </w:p>
    <w:p>
      <w:pPr>
        <w:ind w:firstLine="850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</w:r>
    </w:p>
    <w:p>
      <w:pPr>
        <w:ind w:firstLine="850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1 сентября 2025 года нововведения, установленные приказом Министерства просвещения Российской Федерации от 04.04.2025 № 269 «О продолжительности рабочего времени (нормах часов педагоги</w:t>
      </w:r>
      <w:r>
        <w:rPr>
          <w:rFonts w:ascii="Times New Roman" w:hAnsi="Times New Roman"/>
          <w:sz w:val="28"/>
        </w:rPr>
        <w:t xml:space="preserve">ческой работы за ставку заработной платы) педагогических работников организаций, осуществляющих образовательную деятельность по основным и дополнительным общеобразовательным программам, образовательным программам среднего профессионального образования и со</w:t>
      </w:r>
      <w:r>
        <w:rPr>
          <w:rFonts w:ascii="Times New Roman" w:hAnsi="Times New Roman"/>
          <w:sz w:val="28"/>
        </w:rPr>
        <w:t xml:space="preserve">ответствующим дополнительным  профессиональным программам, основным программам профессионального обучения, и о Порядке определения учебной нагрузки указанных педагогических работников, оговариваемой в трудовом договоре, основаниях ее изменения и случаях ус</w:t>
      </w:r>
      <w:r>
        <w:rPr>
          <w:rFonts w:ascii="Times New Roman" w:hAnsi="Times New Roman"/>
          <w:sz w:val="28"/>
        </w:rPr>
        <w:t xml:space="preserve">тановления верхнего предела указанной учебной нагрузки» коснуться определения продолжительности рабочего времени или нормы часов педагогической работы за ставку заработной платы педагогическим работникам в зависимости от их должности и (или) специальности.</w:t>
      </w:r>
      <w:r>
        <w:rPr>
          <w:rFonts w:ascii="Times New Roman" w:hAnsi="Times New Roman"/>
          <w:sz w:val="28"/>
        </w:rPr>
      </w:r>
    </w:p>
    <w:p>
      <w:pPr>
        <w:ind w:firstLine="850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Так, в частности, продолжительность рабочего времени 36 часов в неделю устанавливается:</w:t>
      </w:r>
      <w:r>
        <w:rPr>
          <w:rFonts w:ascii="Times New Roman" w:hAnsi="Times New Roman"/>
          <w:sz w:val="28"/>
        </w:rPr>
      </w:r>
    </w:p>
    <w:p>
      <w:pPr>
        <w:ind w:firstLine="850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старшим воспитателям организаций, осуществляющих образовательную деятельность по образовательным </w:t>
      </w:r>
      <w:r>
        <w:rPr>
          <w:rFonts w:ascii="Times New Roman" w:hAnsi="Times New Roman"/>
          <w:sz w:val="28"/>
        </w:rPr>
        <w:t xml:space="preserve">программам  дошкольного</w:t>
      </w:r>
      <w:r>
        <w:rPr>
          <w:rFonts w:ascii="Times New Roman" w:hAnsi="Times New Roman"/>
          <w:sz w:val="28"/>
        </w:rPr>
        <w:t xml:space="preserve"> образования и дополнительным общеобразовательным программам, а также домов ребенка, осуществляющих образовательную деятельность в качестве дополнительного вида деятельности;</w:t>
      </w:r>
      <w:r>
        <w:rPr>
          <w:rFonts w:ascii="Times New Roman" w:hAnsi="Times New Roman"/>
          <w:sz w:val="28"/>
        </w:rPr>
      </w:r>
    </w:p>
    <w:p>
      <w:pPr>
        <w:ind w:firstLine="850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педагогам-психологам;</w:t>
      </w:r>
      <w:r>
        <w:rPr>
          <w:rFonts w:ascii="Times New Roman" w:hAnsi="Times New Roman"/>
          <w:sz w:val="28"/>
        </w:rPr>
      </w:r>
    </w:p>
    <w:p>
      <w:pPr>
        <w:ind w:firstLine="850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социальным педагогам;</w:t>
      </w:r>
      <w:r>
        <w:rPr>
          <w:rFonts w:ascii="Times New Roman" w:hAnsi="Times New Roman"/>
          <w:sz w:val="28"/>
        </w:rPr>
      </w:r>
    </w:p>
    <w:p>
      <w:pPr>
        <w:ind w:firstLine="850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педагогам-организаторам;</w:t>
      </w:r>
      <w:r>
        <w:rPr>
          <w:rFonts w:ascii="Times New Roman" w:hAnsi="Times New Roman"/>
          <w:sz w:val="28"/>
        </w:rPr>
      </w:r>
    </w:p>
    <w:p>
      <w:pPr>
        <w:ind w:firstLine="850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мастерам производственного обучения;</w:t>
      </w:r>
      <w:r>
        <w:rPr>
          <w:rFonts w:ascii="Times New Roman" w:hAnsi="Times New Roman"/>
          <w:sz w:val="28"/>
        </w:rPr>
      </w:r>
    </w:p>
    <w:p>
      <w:pPr>
        <w:ind w:firstLine="850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методистам и старшим методистам;</w:t>
      </w:r>
      <w:r>
        <w:rPr>
          <w:rFonts w:ascii="Times New Roman" w:hAnsi="Times New Roman"/>
          <w:sz w:val="28"/>
        </w:rPr>
      </w:r>
    </w:p>
    <w:p>
      <w:pPr>
        <w:ind w:firstLine="850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советникам директора по воспитанию и взаимодействию с детскими общественными объединениями и др.</w:t>
      </w:r>
      <w:r>
        <w:rPr>
          <w:rFonts w:ascii="Times New Roman" w:hAnsi="Times New Roman"/>
          <w:sz w:val="28"/>
        </w:rPr>
      </w:r>
    </w:p>
    <w:p>
      <w:pPr>
        <w:ind w:firstLine="850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Вместе с этим определены категории работников, продолжительность рабочего времени которых будет составлять 18, 20, 24, 25, 30 часов.</w:t>
      </w:r>
      <w:r>
        <w:rPr>
          <w:rFonts w:ascii="Times New Roman" w:hAnsi="Times New Roman"/>
          <w:sz w:val="28"/>
        </w:rPr>
      </w:r>
    </w:p>
    <w:p>
      <w:pPr>
        <w:ind w:firstLine="850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Одновременно документом утвержден порядок определения учебной нагрузки педагогических работников организаций, осуществляющих образовательную деятельность по основным и дополнительным общеобразовательным программам, образова</w:t>
      </w:r>
      <w:r>
        <w:rPr>
          <w:rFonts w:ascii="Times New Roman" w:hAnsi="Times New Roman"/>
          <w:sz w:val="28"/>
        </w:rPr>
        <w:t xml:space="preserve">тельным программам СПО и соответствующим дополнительным профессиональным программам, основным программам профессионального обучения, оговариваемой в трудовом договоре, основания ее изменения и случаи установления верхнего предела указанной учебной нагрузки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20B06030308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4"/>
    <w:link w:val="63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54"/>
    <w:link w:val="660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54"/>
    <w:link w:val="63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54"/>
    <w:link w:val="658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54"/>
    <w:link w:val="634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54"/>
    <w:link w:val="656"/>
    <w:uiPriority w:val="10"/>
    <w:rPr>
      <w:sz w:val="48"/>
      <w:szCs w:val="48"/>
    </w:rPr>
  </w:style>
  <w:style w:type="character" w:styleId="37">
    <w:name w:val="Subtitle Char"/>
    <w:basedOn w:val="654"/>
    <w:link w:val="652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54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4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4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4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7" w:default="1">
    <w:name w:val="Normal"/>
    <w:link w:val="618"/>
    <w:uiPriority w:val="0"/>
    <w:qFormat/>
  </w:style>
  <w:style w:type="character" w:styleId="618" w:default="1">
    <w:name w:val="Normal"/>
    <w:link w:val="617"/>
  </w:style>
  <w:style w:type="paragraph" w:styleId="619">
    <w:name w:val="toc 2"/>
    <w:next w:val="617"/>
    <w:link w:val="6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620">
    <w:name w:val="toc 2"/>
    <w:link w:val="619"/>
    <w:rPr>
      <w:rFonts w:ascii="XO Thames" w:hAnsi="XO Thames"/>
      <w:sz w:val="28"/>
    </w:rPr>
  </w:style>
  <w:style w:type="paragraph" w:styleId="621">
    <w:name w:val="toc 4"/>
    <w:next w:val="617"/>
    <w:link w:val="622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622">
    <w:name w:val="toc 4"/>
    <w:link w:val="621"/>
    <w:rPr>
      <w:rFonts w:ascii="XO Thames" w:hAnsi="XO Thames"/>
      <w:sz w:val="28"/>
    </w:rPr>
  </w:style>
  <w:style w:type="paragraph" w:styleId="623">
    <w:name w:val="toc 6"/>
    <w:next w:val="617"/>
    <w:link w:val="624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624">
    <w:name w:val="toc 6"/>
    <w:link w:val="623"/>
    <w:rPr>
      <w:rFonts w:ascii="XO Thames" w:hAnsi="XO Thames"/>
      <w:sz w:val="28"/>
    </w:rPr>
  </w:style>
  <w:style w:type="paragraph" w:styleId="625">
    <w:name w:val="toc 7"/>
    <w:next w:val="617"/>
    <w:link w:val="626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626">
    <w:name w:val="toc 7"/>
    <w:link w:val="625"/>
    <w:rPr>
      <w:rFonts w:ascii="XO Thames" w:hAnsi="XO Thames"/>
      <w:sz w:val="28"/>
    </w:rPr>
  </w:style>
  <w:style w:type="paragraph" w:styleId="627">
    <w:name w:val="Endnote"/>
    <w:link w:val="628"/>
    <w:pPr>
      <w:ind w:left="0" w:firstLine="851"/>
      <w:jc w:val="both"/>
    </w:pPr>
    <w:rPr>
      <w:rFonts w:ascii="XO Thames" w:hAnsi="XO Thames"/>
      <w:sz w:val="22"/>
    </w:rPr>
  </w:style>
  <w:style w:type="character" w:styleId="628">
    <w:name w:val="Endnote"/>
    <w:link w:val="627"/>
    <w:rPr>
      <w:rFonts w:ascii="XO Thames" w:hAnsi="XO Thames"/>
      <w:sz w:val="22"/>
    </w:rPr>
  </w:style>
  <w:style w:type="paragraph" w:styleId="629">
    <w:name w:val="Heading 3"/>
    <w:next w:val="617"/>
    <w:link w:val="630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630">
    <w:name w:val="Heading 3"/>
    <w:link w:val="629"/>
    <w:rPr>
      <w:rFonts w:ascii="XO Thames" w:hAnsi="XO Thames"/>
      <w:b/>
      <w:sz w:val="26"/>
    </w:rPr>
  </w:style>
  <w:style w:type="paragraph" w:styleId="631">
    <w:name w:val="toc 3"/>
    <w:next w:val="617"/>
    <w:link w:val="632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632">
    <w:name w:val="toc 3"/>
    <w:link w:val="631"/>
    <w:rPr>
      <w:rFonts w:ascii="XO Thames" w:hAnsi="XO Thames"/>
      <w:sz w:val="28"/>
    </w:rPr>
  </w:style>
  <w:style w:type="paragraph" w:styleId="633">
    <w:name w:val="Heading 5"/>
    <w:next w:val="617"/>
    <w:link w:val="634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634">
    <w:name w:val="Heading 5"/>
    <w:link w:val="633"/>
    <w:rPr>
      <w:rFonts w:ascii="XO Thames" w:hAnsi="XO Thames"/>
      <w:b/>
      <w:sz w:val="22"/>
    </w:rPr>
  </w:style>
  <w:style w:type="paragraph" w:styleId="635">
    <w:name w:val="Heading 1"/>
    <w:next w:val="617"/>
    <w:link w:val="636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character" w:styleId="636">
    <w:name w:val="Heading 1"/>
    <w:link w:val="635"/>
    <w:rPr>
      <w:rFonts w:ascii="XO Thames" w:hAnsi="XO Thames"/>
      <w:b/>
      <w:sz w:val="32"/>
    </w:rPr>
  </w:style>
  <w:style w:type="paragraph" w:styleId="637">
    <w:name w:val="Hyperlink"/>
    <w:link w:val="638"/>
    <w:rPr>
      <w:color w:val="0000ff"/>
      <w:u w:val="single"/>
    </w:rPr>
  </w:style>
  <w:style w:type="character" w:styleId="638">
    <w:name w:val="Hyperlink"/>
    <w:link w:val="637"/>
    <w:rPr>
      <w:color w:val="0000ff"/>
      <w:u w:val="single"/>
    </w:rPr>
  </w:style>
  <w:style w:type="paragraph" w:styleId="639">
    <w:name w:val="Footnote"/>
    <w:link w:val="640"/>
    <w:pPr>
      <w:ind w:left="0" w:firstLine="851"/>
      <w:jc w:val="both"/>
    </w:pPr>
    <w:rPr>
      <w:rFonts w:ascii="XO Thames" w:hAnsi="XO Thames"/>
      <w:sz w:val="22"/>
    </w:rPr>
  </w:style>
  <w:style w:type="character" w:styleId="640">
    <w:name w:val="Footnote"/>
    <w:link w:val="639"/>
    <w:rPr>
      <w:rFonts w:ascii="XO Thames" w:hAnsi="XO Thames"/>
      <w:sz w:val="22"/>
    </w:rPr>
  </w:style>
  <w:style w:type="paragraph" w:styleId="641">
    <w:name w:val="toc 1"/>
    <w:next w:val="617"/>
    <w:link w:val="642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642">
    <w:name w:val="toc 1"/>
    <w:link w:val="641"/>
    <w:rPr>
      <w:rFonts w:ascii="XO Thames" w:hAnsi="XO Thames"/>
      <w:b/>
      <w:sz w:val="28"/>
    </w:rPr>
  </w:style>
  <w:style w:type="paragraph" w:styleId="643">
    <w:name w:val="Header and Footer"/>
    <w:link w:val="644"/>
    <w:pPr>
      <w:jc w:val="both"/>
      <w:spacing w:line="240" w:lineRule="auto"/>
    </w:pPr>
    <w:rPr>
      <w:rFonts w:ascii="XO Thames" w:hAnsi="XO Thames"/>
      <w:sz w:val="28"/>
    </w:rPr>
  </w:style>
  <w:style w:type="character" w:styleId="644">
    <w:name w:val="Header and Footer"/>
    <w:link w:val="643"/>
    <w:rPr>
      <w:rFonts w:ascii="XO Thames" w:hAnsi="XO Thames"/>
      <w:sz w:val="28"/>
    </w:rPr>
  </w:style>
  <w:style w:type="paragraph" w:styleId="645">
    <w:name w:val="toc 9"/>
    <w:next w:val="617"/>
    <w:link w:val="646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646">
    <w:name w:val="toc 9"/>
    <w:link w:val="645"/>
    <w:rPr>
      <w:rFonts w:ascii="XO Thames" w:hAnsi="XO Thames"/>
      <w:sz w:val="28"/>
    </w:rPr>
  </w:style>
  <w:style w:type="paragraph" w:styleId="647">
    <w:name w:val="toc 8"/>
    <w:next w:val="617"/>
    <w:link w:val="648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648">
    <w:name w:val="toc 8"/>
    <w:link w:val="647"/>
    <w:rPr>
      <w:rFonts w:ascii="XO Thames" w:hAnsi="XO Thames"/>
      <w:sz w:val="28"/>
    </w:rPr>
  </w:style>
  <w:style w:type="paragraph" w:styleId="649">
    <w:name w:val="toc 5"/>
    <w:next w:val="617"/>
    <w:link w:val="6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650">
    <w:name w:val="toc 5"/>
    <w:link w:val="649"/>
    <w:rPr>
      <w:rFonts w:ascii="XO Thames" w:hAnsi="XO Thames"/>
      <w:sz w:val="28"/>
    </w:rPr>
  </w:style>
  <w:style w:type="paragraph" w:styleId="651">
    <w:name w:val="Subtitle"/>
    <w:next w:val="617"/>
    <w:link w:val="652"/>
    <w:uiPriority w:val="11"/>
    <w:qFormat/>
    <w:pPr>
      <w:jc w:val="both"/>
    </w:pPr>
    <w:rPr>
      <w:rFonts w:ascii="XO Thames" w:hAnsi="XO Thames"/>
      <w:i/>
      <w:sz w:val="24"/>
    </w:rPr>
  </w:style>
  <w:style w:type="character" w:styleId="652">
    <w:name w:val="Subtitle"/>
    <w:link w:val="651"/>
    <w:rPr>
      <w:rFonts w:ascii="XO Thames" w:hAnsi="XO Thames"/>
      <w:i/>
      <w:sz w:val="24"/>
    </w:rPr>
  </w:style>
  <w:style w:type="paragraph" w:styleId="653">
    <w:name w:val="Default Paragraph Font"/>
    <w:link w:val="654"/>
  </w:style>
  <w:style w:type="character" w:styleId="654">
    <w:name w:val="Default Paragraph Font"/>
    <w:link w:val="653"/>
  </w:style>
  <w:style w:type="paragraph" w:styleId="655">
    <w:name w:val="Title"/>
    <w:next w:val="617"/>
    <w:link w:val="656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656">
    <w:name w:val="Title"/>
    <w:link w:val="655"/>
    <w:rPr>
      <w:rFonts w:ascii="XO Thames" w:hAnsi="XO Thames"/>
      <w:b/>
      <w:caps/>
      <w:sz w:val="40"/>
    </w:rPr>
  </w:style>
  <w:style w:type="paragraph" w:styleId="657">
    <w:name w:val="Heading 4"/>
    <w:next w:val="617"/>
    <w:link w:val="658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658">
    <w:name w:val="Heading 4"/>
    <w:link w:val="657"/>
    <w:rPr>
      <w:rFonts w:ascii="XO Thames" w:hAnsi="XO Thames"/>
      <w:b/>
      <w:sz w:val="24"/>
    </w:rPr>
  </w:style>
  <w:style w:type="paragraph" w:styleId="659">
    <w:name w:val="Heading 2"/>
    <w:next w:val="617"/>
    <w:link w:val="660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660">
    <w:name w:val="Heading 2"/>
    <w:link w:val="659"/>
    <w:rPr>
      <w:rFonts w:ascii="XO Thames" w:hAnsi="XO Thames"/>
      <w:b/>
      <w:sz w:val="28"/>
    </w:rPr>
  </w:style>
  <w:style w:type="table" w:styleId="661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Карачарова Ю. В. Отдел общего и дополнительного образования Адм Автозаводского р-на Консультант</cp:lastModifiedBy>
  <cp:revision>1</cp:revision>
  <dcterms:modified xsi:type="dcterms:W3CDTF">2025-06-30T13:19:40Z</dcterms:modified>
</cp:coreProperties>
</file>